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Vanaf 18.00 uur, ontvangst met koffie en</w:t>
      </w:r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broodjes/diner.</w:t>
      </w:r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Het programma zal starten om 18.30 uur</w:t>
      </w:r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Reinier Raijmakers zal starten met casuïstiek/</w:t>
      </w:r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de nieuwe richtlijn, daarna volgt een</w:t>
      </w:r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discussie over 3 prikkelende stellingen.</w:t>
      </w:r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Het inbrengen van eigen casuïstiek tijdens</w:t>
      </w:r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deze avond is zeker mogelijk en wordt</w:t>
      </w:r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gewaardeerd!</w:t>
      </w:r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 xml:space="preserve">Mede namens </w:t>
      </w:r>
      <w:r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 xml:space="preserve">Okke de </w:t>
      </w:r>
      <w:proofErr w:type="spellStart"/>
      <w:r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Weerdt</w:t>
      </w:r>
      <w:proofErr w:type="spellEnd"/>
      <w:r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 xml:space="preserve"> </w:t>
      </w: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en Reinier Raijmakers heten wij u van harte</w:t>
      </w:r>
    </w:p>
    <w:p w:rsid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proofErr w:type="spellStart"/>
      <w:r>
        <w:rPr>
          <w:rFonts w:ascii="FranklinGothicLTPro-BkCn" w:hAnsi="FranklinGothicLTPro-BkCn" w:cs="FranklinGothicLTPro-BkCn"/>
          <w:color w:val="818385"/>
          <w:sz w:val="20"/>
          <w:szCs w:val="20"/>
        </w:rPr>
        <w:t>welkom</w:t>
      </w:r>
      <w:proofErr w:type="spellEnd"/>
      <w:r>
        <w:rPr>
          <w:rFonts w:ascii="FranklinGothicLTPro-BkCn" w:hAnsi="FranklinGothicLTPro-BkCn" w:cs="FranklinGothicLTPro-BkCn"/>
          <w:color w:val="818385"/>
          <w:sz w:val="20"/>
          <w:szCs w:val="20"/>
        </w:rPr>
        <w:t>.</w:t>
      </w: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 xml:space="preserve"> </w:t>
      </w:r>
    </w:p>
    <w:p w:rsid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</w:p>
    <w:p w:rsid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 xml:space="preserve">Programma: </w:t>
      </w:r>
      <w:bookmarkStart w:id="0" w:name="_GoBack"/>
      <w:bookmarkEnd w:id="0"/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De rol van de herziene richtlijn die eind</w:t>
      </w:r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januari gepubliceerd is</w:t>
      </w:r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• De toepassing van de geadviseerde</w:t>
      </w:r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MPN-SAF vragenlijst voor het monitoren van</w:t>
      </w:r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de ziektelast/symptomen</w:t>
      </w:r>
    </w:p>
    <w:p w:rsidR="00B72662" w:rsidRPr="00B72662" w:rsidRDefault="00B72662" w:rsidP="00B72662">
      <w:pPr>
        <w:autoSpaceDE w:val="0"/>
        <w:autoSpaceDN w:val="0"/>
        <w:adjustRightInd w:val="0"/>
        <w:spacing w:after="0" w:line="240" w:lineRule="auto"/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• Diagnostiek</w:t>
      </w:r>
    </w:p>
    <w:p w:rsidR="00F822E5" w:rsidRPr="00B72662" w:rsidRDefault="00B72662" w:rsidP="00B72662">
      <w:pPr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</w:pPr>
      <w:r w:rsidRPr="00B72662">
        <w:rPr>
          <w:rFonts w:ascii="FranklinGothicLTPro-BkCn" w:hAnsi="FranklinGothicLTPro-BkCn" w:cs="FranklinGothicLTPro-BkCn"/>
          <w:color w:val="818385"/>
          <w:sz w:val="20"/>
          <w:szCs w:val="20"/>
          <w:lang w:val="nl-NL"/>
        </w:rPr>
        <w:t>• Wat te doen bij progressie</w:t>
      </w:r>
    </w:p>
    <w:p w:rsidR="00B72662" w:rsidRPr="00B72662" w:rsidRDefault="00B72662" w:rsidP="00B72662">
      <w:pPr>
        <w:rPr>
          <w:lang w:val="nl-NL"/>
        </w:rPr>
      </w:pPr>
    </w:p>
    <w:sectPr w:rsidR="00B72662" w:rsidRPr="00B726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62" w:rsidRDefault="00B72662" w:rsidP="00B72662">
      <w:pPr>
        <w:spacing w:after="0" w:line="240" w:lineRule="auto"/>
      </w:pPr>
      <w:r>
        <w:separator/>
      </w:r>
    </w:p>
  </w:endnote>
  <w:endnote w:type="continuationSeparator" w:id="0">
    <w:p w:rsidR="00B72662" w:rsidRDefault="00B72662" w:rsidP="00B7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LTPro-Bk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62" w:rsidRDefault="00B72662" w:rsidP="00B72662">
      <w:pPr>
        <w:spacing w:after="0" w:line="240" w:lineRule="auto"/>
      </w:pPr>
      <w:r>
        <w:separator/>
      </w:r>
    </w:p>
  </w:footnote>
  <w:footnote w:type="continuationSeparator" w:id="0">
    <w:p w:rsidR="00B72662" w:rsidRDefault="00B72662" w:rsidP="00B72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62"/>
    <w:rsid w:val="00B72662"/>
    <w:rsid w:val="00F8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49FF4"/>
  <w15:chartTrackingRefBased/>
  <w15:docId w15:val="{16A2CA44-4F6A-4674-8A18-C7EEF69A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1</cp:revision>
  <dcterms:created xsi:type="dcterms:W3CDTF">2021-03-10T15:49:00Z</dcterms:created>
  <dcterms:modified xsi:type="dcterms:W3CDTF">2021-03-10T15:50:00Z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2021-03-10T15:50:39Z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efccdde2-a21b-4da6-8b91-3cbf7d60c4e1</vt:lpwstr>
  </property>
  <property fmtid="{D5CDD505-2E9C-101B-9397-08002B2CF9AE}" pid="8" name="MSIP_Label_4929bff8-5b33-42aa-95d2-28f72e792cb0_ContentBits">
    <vt:lpwstr>0</vt:lpwstr>
  </property>
</Properties>
</file>